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1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063"/>
      </w:tblGrid>
      <w:tr w:rsidR="00093A91" w14:paraId="61385592" w14:textId="77777777" w:rsidTr="00093A91">
        <w:trPr>
          <w:jc w:val="center"/>
        </w:trPr>
        <w:tc>
          <w:tcPr>
            <w:tcW w:w="2263" w:type="dxa"/>
            <w:vAlign w:val="center"/>
          </w:tcPr>
          <w:p w14:paraId="26E9D336" w14:textId="77777777" w:rsidR="00093A91" w:rsidRDefault="00093A91" w:rsidP="00314B0E">
            <w:pPr>
              <w:pStyle w:val="Adresse"/>
              <w:spacing w:before="0"/>
              <w:ind w:left="0" w:right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4ADE811" wp14:editId="5EACA8D8">
                  <wp:extent cx="1351054" cy="558794"/>
                  <wp:effectExtent l="0" t="0" r="1905" b="0"/>
                  <wp:docPr id="21" name="Image 15" descr="logo_cap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apeb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743" cy="575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238DEF59" w14:textId="77777777" w:rsidR="00093A91" w:rsidRDefault="00093A91" w:rsidP="00314B0E">
            <w:pPr>
              <w:pStyle w:val="Adresse"/>
              <w:spacing w:before="0"/>
              <w:ind w:left="0" w:right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13A23B0" wp14:editId="3E77EF81">
                  <wp:extent cx="1575638" cy="660400"/>
                  <wp:effectExtent l="0" t="0" r="5715" b="6350"/>
                  <wp:docPr id="22" name="Image 21" descr="Logo F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FB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41" cy="66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723FB88" w14:textId="77777777" w:rsidR="00093A91" w:rsidRDefault="00093A91" w:rsidP="00314B0E">
            <w:pPr>
              <w:pStyle w:val="Adresse"/>
              <w:spacing w:before="0"/>
              <w:ind w:left="0" w:right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A2BF62A" wp14:editId="238F7BFB">
                  <wp:extent cx="1260032" cy="1039348"/>
                  <wp:effectExtent l="0" t="0" r="0" b="8890"/>
                  <wp:docPr id="25" name="Image 24" descr="logo T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P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134" cy="104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  <w:vAlign w:val="center"/>
          </w:tcPr>
          <w:p w14:paraId="5A754DD9" w14:textId="28730423" w:rsidR="00093A91" w:rsidRDefault="00093A91" w:rsidP="00314B0E">
            <w:pPr>
              <w:pStyle w:val="Adresse"/>
              <w:spacing w:before="0"/>
              <w:ind w:left="0" w:right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F7272ED" wp14:editId="44AFE17D">
                  <wp:extent cx="1314024" cy="984250"/>
                  <wp:effectExtent l="0" t="0" r="635" b="6350"/>
                  <wp:docPr id="24" name="Image 23" descr="SCOP BT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OP BTP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263" cy="1001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37B6C7" w14:textId="77777777" w:rsidR="00022303" w:rsidRPr="005C0BE8" w:rsidRDefault="00022303" w:rsidP="00022303">
      <w:pPr>
        <w:pStyle w:val="Adresse"/>
        <w:spacing w:before="0"/>
        <w:ind w:left="0" w:right="0"/>
        <w:rPr>
          <w:rFonts w:cs="Arial"/>
          <w:sz w:val="18"/>
          <w:szCs w:val="18"/>
        </w:rPr>
      </w:pPr>
    </w:p>
    <w:p w14:paraId="0008E65A" w14:textId="598013A7" w:rsidR="00022303" w:rsidRPr="005C0BE8" w:rsidRDefault="00022303" w:rsidP="00022303">
      <w:pPr>
        <w:pStyle w:val="Adresse"/>
        <w:spacing w:before="0"/>
        <w:ind w:left="0" w:right="0"/>
        <w:rPr>
          <w:rFonts w:cs="Arial"/>
          <w:sz w:val="18"/>
          <w:szCs w:val="18"/>
        </w:rPr>
      </w:pPr>
    </w:p>
    <w:p w14:paraId="7079C835" w14:textId="7C9DDDC4" w:rsidR="00022303" w:rsidRPr="00560F6B" w:rsidRDefault="00022303" w:rsidP="00022303">
      <w:pPr>
        <w:pStyle w:val="Adresse"/>
        <w:spacing w:before="0"/>
        <w:ind w:left="993" w:right="425"/>
        <w:jc w:val="right"/>
        <w:rPr>
          <w:rFonts w:cs="Arial"/>
        </w:rPr>
      </w:pPr>
      <w:r w:rsidRPr="00560F6B">
        <w:rPr>
          <w:rFonts w:cs="Arial"/>
        </w:rPr>
        <w:t xml:space="preserve">Paris, le </w:t>
      </w:r>
      <w:r>
        <w:rPr>
          <w:rFonts w:cs="Arial"/>
        </w:rPr>
        <w:t>2 avril 2020</w:t>
      </w:r>
    </w:p>
    <w:p w14:paraId="61E50A9B" w14:textId="77777777" w:rsidR="00022303" w:rsidRPr="00427B3D" w:rsidRDefault="00022303" w:rsidP="00022303">
      <w:pPr>
        <w:pStyle w:val="Default"/>
        <w:jc w:val="both"/>
        <w:rPr>
          <w:rFonts w:eastAsia="Calibri"/>
          <w:color w:val="auto"/>
          <w:sz w:val="20"/>
          <w:szCs w:val="20"/>
        </w:rPr>
      </w:pPr>
    </w:p>
    <w:p w14:paraId="11EBD192" w14:textId="77777777" w:rsidR="00022303" w:rsidRDefault="00022303" w:rsidP="00022303">
      <w:pPr>
        <w:pStyle w:val="Default"/>
        <w:jc w:val="both"/>
        <w:rPr>
          <w:color w:val="auto"/>
          <w:sz w:val="22"/>
          <w:szCs w:val="22"/>
        </w:rPr>
      </w:pPr>
    </w:p>
    <w:p w14:paraId="6EE6D7F9" w14:textId="26DCE481" w:rsidR="00022303" w:rsidRPr="00991B3F" w:rsidRDefault="00022303" w:rsidP="00022303">
      <w:pPr>
        <w:spacing w:after="0"/>
        <w:jc w:val="center"/>
        <w:rPr>
          <w:rFonts w:ascii="Arial" w:hAnsi="Arial" w:cs="Arial"/>
          <w:b/>
        </w:rPr>
      </w:pPr>
      <w:r w:rsidRPr="00991B3F">
        <w:rPr>
          <w:rFonts w:ascii="Arial" w:hAnsi="Arial" w:cs="Arial"/>
          <w:b/>
        </w:rPr>
        <w:t xml:space="preserve">LES ORGANISATIONS PROFESSIONNELLES DU BATIMENT ET DES TRAVAUX PUBLICS SE MOBILISENT POUR CREER LES </w:t>
      </w:r>
      <w:r>
        <w:rPr>
          <w:rFonts w:ascii="Arial" w:hAnsi="Arial" w:cs="Arial"/>
          <w:b/>
        </w:rPr>
        <w:t>MODALITES</w:t>
      </w:r>
      <w:r w:rsidRPr="00991B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D’UNE REPRISE PROGRESSIVE DE CHANTIERS</w:t>
      </w:r>
      <w:r w:rsidRPr="00991B3F">
        <w:rPr>
          <w:rFonts w:ascii="Arial" w:hAnsi="Arial" w:cs="Arial"/>
          <w:b/>
        </w:rPr>
        <w:t xml:space="preserve"> DANS DES CONDITIONS SANITAIRES QUI PROTEGENT LES EMPLOYEURS ET LES SALARIES </w:t>
      </w:r>
    </w:p>
    <w:p w14:paraId="28F86B5D" w14:textId="77777777" w:rsidR="00022303" w:rsidRDefault="00022303" w:rsidP="00022303">
      <w:pPr>
        <w:spacing w:after="0"/>
        <w:jc w:val="center"/>
        <w:rPr>
          <w:b/>
        </w:rPr>
      </w:pPr>
    </w:p>
    <w:p w14:paraId="5D3B84A8" w14:textId="77777777" w:rsidR="00022303" w:rsidRDefault="00022303" w:rsidP="00022303">
      <w:pPr>
        <w:spacing w:after="0"/>
        <w:rPr>
          <w:b/>
        </w:rPr>
      </w:pPr>
    </w:p>
    <w:p w14:paraId="4F5D11DF" w14:textId="77777777" w:rsidR="00022303" w:rsidRDefault="00022303" w:rsidP="00022303">
      <w:pPr>
        <w:pStyle w:val="Default"/>
        <w:jc w:val="both"/>
        <w:rPr>
          <w:sz w:val="22"/>
          <w:szCs w:val="22"/>
        </w:rPr>
      </w:pPr>
    </w:p>
    <w:p w14:paraId="408386FB" w14:textId="01C21B66" w:rsidR="00022303" w:rsidRDefault="00022303" w:rsidP="0002230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Pour les</w:t>
      </w:r>
      <w:r w:rsidRPr="00991B3F">
        <w:rPr>
          <w:sz w:val="22"/>
          <w:szCs w:val="22"/>
        </w:rPr>
        <w:t xml:space="preserve"> organisations </w:t>
      </w:r>
      <w:r w:rsidR="00162861">
        <w:rPr>
          <w:sz w:val="22"/>
          <w:szCs w:val="22"/>
        </w:rPr>
        <w:t>professionnelles</w:t>
      </w:r>
      <w:r w:rsidRPr="00991B3F">
        <w:rPr>
          <w:sz w:val="22"/>
          <w:szCs w:val="22"/>
        </w:rPr>
        <w:t xml:space="preserve"> du </w:t>
      </w:r>
      <w:r>
        <w:rPr>
          <w:sz w:val="22"/>
          <w:szCs w:val="22"/>
        </w:rPr>
        <w:t xml:space="preserve">Bâtiment et des Travaux Publics, face à la soudaineté et à l’ampleur exceptionnelle de la </w:t>
      </w:r>
      <w:r w:rsidRPr="00F8647A">
        <w:rPr>
          <w:sz w:val="22"/>
          <w:szCs w:val="22"/>
        </w:rPr>
        <w:t xml:space="preserve">crise sanitaire actuelle, </w:t>
      </w:r>
      <w:r w:rsidRPr="00991B3F">
        <w:rPr>
          <w:sz w:val="22"/>
          <w:szCs w:val="22"/>
        </w:rPr>
        <w:t>la protection des salariés est une priorité absolue</w:t>
      </w:r>
      <w:r>
        <w:rPr>
          <w:sz w:val="22"/>
          <w:szCs w:val="22"/>
        </w:rPr>
        <w:t>.</w:t>
      </w:r>
    </w:p>
    <w:p w14:paraId="10DE2567" w14:textId="77777777" w:rsidR="00022303" w:rsidRPr="00991B3F" w:rsidRDefault="00022303" w:rsidP="00022303">
      <w:pPr>
        <w:pStyle w:val="Default"/>
        <w:jc w:val="both"/>
        <w:rPr>
          <w:sz w:val="22"/>
          <w:szCs w:val="22"/>
        </w:rPr>
      </w:pPr>
    </w:p>
    <w:p w14:paraId="354D8835" w14:textId="77777777" w:rsidR="00022303" w:rsidRPr="00F8647A" w:rsidRDefault="00022303" w:rsidP="00022303">
      <w:pPr>
        <w:pStyle w:val="Default"/>
        <w:jc w:val="both"/>
        <w:rPr>
          <w:sz w:val="22"/>
          <w:szCs w:val="22"/>
        </w:rPr>
      </w:pPr>
      <w:r w:rsidRPr="00F8647A">
        <w:rPr>
          <w:sz w:val="22"/>
          <w:szCs w:val="22"/>
        </w:rPr>
        <w:t>La reprise progressive consacrée aux activités essentielles</w:t>
      </w:r>
      <w:r>
        <w:rPr>
          <w:sz w:val="22"/>
          <w:szCs w:val="22"/>
        </w:rPr>
        <w:t xml:space="preserve"> puis </w:t>
      </w:r>
      <w:r w:rsidRPr="00F8647A">
        <w:rPr>
          <w:sz w:val="22"/>
          <w:szCs w:val="22"/>
        </w:rPr>
        <w:t xml:space="preserve">à l’ensemble des activités en fonction de l’évolution de la situation sanitaire et des particularités locales, </w:t>
      </w:r>
      <w:r>
        <w:rPr>
          <w:sz w:val="22"/>
          <w:szCs w:val="22"/>
        </w:rPr>
        <w:t>nécessite</w:t>
      </w:r>
      <w:r w:rsidRPr="00F8647A">
        <w:rPr>
          <w:sz w:val="22"/>
          <w:szCs w:val="22"/>
        </w:rPr>
        <w:t xml:space="preserve"> des conditions </w:t>
      </w:r>
      <w:r w:rsidRPr="00F8647A">
        <w:rPr>
          <w:color w:val="auto"/>
          <w:sz w:val="22"/>
          <w:szCs w:val="22"/>
        </w:rPr>
        <w:t>sécurisées</w:t>
      </w:r>
      <w:r w:rsidRPr="00F8647A">
        <w:rPr>
          <w:color w:val="FF0000"/>
          <w:sz w:val="22"/>
          <w:szCs w:val="22"/>
        </w:rPr>
        <w:t xml:space="preserve"> </w:t>
      </w:r>
      <w:r w:rsidRPr="00F8647A">
        <w:rPr>
          <w:sz w:val="22"/>
          <w:szCs w:val="22"/>
        </w:rPr>
        <w:t>tant à l’égard des entreprises que des salariés pour assurer leur sécurité, leur santé et leur intégrité.</w:t>
      </w:r>
    </w:p>
    <w:p w14:paraId="7A6F1E09" w14:textId="77777777" w:rsidR="00022303" w:rsidRDefault="00022303" w:rsidP="00022303">
      <w:pPr>
        <w:pStyle w:val="Default"/>
        <w:jc w:val="both"/>
        <w:rPr>
          <w:sz w:val="22"/>
          <w:szCs w:val="22"/>
        </w:rPr>
      </w:pPr>
    </w:p>
    <w:p w14:paraId="13E035BC" w14:textId="2ED85DF0" w:rsidR="00022303" w:rsidRPr="004B3F8E" w:rsidRDefault="00022303" w:rsidP="00022303">
      <w:pPr>
        <w:pStyle w:val="Default"/>
        <w:jc w:val="both"/>
        <w:rPr>
          <w:rFonts w:eastAsia="Calibri"/>
          <w:color w:val="auto"/>
          <w:sz w:val="22"/>
          <w:szCs w:val="22"/>
        </w:rPr>
      </w:pPr>
      <w:r>
        <w:rPr>
          <w:sz w:val="22"/>
          <w:szCs w:val="22"/>
        </w:rPr>
        <w:t xml:space="preserve">Dans cet esprit, </w:t>
      </w:r>
      <w:r w:rsidRPr="004B3F8E">
        <w:rPr>
          <w:color w:val="auto"/>
          <w:sz w:val="22"/>
          <w:szCs w:val="22"/>
        </w:rPr>
        <w:t xml:space="preserve">les </w:t>
      </w:r>
      <w:r w:rsidR="00162861">
        <w:rPr>
          <w:color w:val="auto"/>
          <w:sz w:val="22"/>
          <w:szCs w:val="22"/>
        </w:rPr>
        <w:t>organisations professionnelles</w:t>
      </w:r>
      <w:r w:rsidRPr="004B3F8E">
        <w:rPr>
          <w:color w:val="auto"/>
          <w:sz w:val="22"/>
          <w:szCs w:val="22"/>
        </w:rPr>
        <w:t xml:space="preserve"> du Bâtiment et des Travaux Publics ont décidé d’élaborer en lien avec l’OPP-BTP, un guide détaillant les conditions sanitaires satisfaisantes et les procédures précises à adopter</w:t>
      </w:r>
      <w:r w:rsidR="00162861">
        <w:rPr>
          <w:color w:val="auto"/>
          <w:sz w:val="22"/>
          <w:szCs w:val="22"/>
        </w:rPr>
        <w:t xml:space="preserve">, </w:t>
      </w:r>
      <w:r w:rsidR="00162861" w:rsidRPr="00BA4579">
        <w:rPr>
          <w:color w:val="auto"/>
          <w:sz w:val="22"/>
          <w:szCs w:val="22"/>
        </w:rPr>
        <w:t>notamment dans le cadre du dialogue social,</w:t>
      </w:r>
      <w:r w:rsidRPr="00BA4579">
        <w:rPr>
          <w:color w:val="auto"/>
          <w:sz w:val="22"/>
          <w:szCs w:val="22"/>
        </w:rPr>
        <w:t xml:space="preserve"> pour garantir </w:t>
      </w:r>
      <w:r w:rsidRPr="00BA4579">
        <w:rPr>
          <w:rFonts w:eastAsia="Calibri"/>
          <w:color w:val="auto"/>
          <w:sz w:val="22"/>
          <w:szCs w:val="22"/>
        </w:rPr>
        <w:t>la santé et la sécurité des salarié</w:t>
      </w:r>
      <w:r w:rsidRPr="004B3F8E">
        <w:rPr>
          <w:rFonts w:eastAsia="Calibri"/>
          <w:color w:val="auto"/>
          <w:sz w:val="22"/>
          <w:szCs w:val="22"/>
        </w:rPr>
        <w:t>s et des employeurs</w:t>
      </w:r>
      <w:r>
        <w:rPr>
          <w:rFonts w:eastAsia="Calibri"/>
          <w:color w:val="auto"/>
          <w:sz w:val="22"/>
          <w:szCs w:val="22"/>
        </w:rPr>
        <w:t>,</w:t>
      </w:r>
      <w:r w:rsidRPr="004B3F8E">
        <w:rPr>
          <w:rFonts w:eastAsia="Calibri"/>
          <w:color w:val="auto"/>
          <w:sz w:val="22"/>
          <w:szCs w:val="22"/>
        </w:rPr>
        <w:t xml:space="preserve"> pour leur permettre</w:t>
      </w:r>
      <w:r>
        <w:rPr>
          <w:rFonts w:eastAsia="Calibri"/>
          <w:color w:val="auto"/>
          <w:sz w:val="22"/>
          <w:szCs w:val="22"/>
        </w:rPr>
        <w:t xml:space="preserve"> une reprise progressive de l’activité et rétablir la confiance.</w:t>
      </w:r>
    </w:p>
    <w:p w14:paraId="1B7A2785" w14:textId="77777777" w:rsidR="00022303" w:rsidRPr="004B3F8E" w:rsidRDefault="00022303" w:rsidP="00022303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384AD1F7" w14:textId="7BBFE78A" w:rsidR="00022303" w:rsidRDefault="00022303" w:rsidP="00022303">
      <w:pPr>
        <w:pStyle w:val="Default"/>
        <w:jc w:val="both"/>
        <w:rPr>
          <w:color w:val="auto"/>
          <w:sz w:val="22"/>
          <w:szCs w:val="22"/>
        </w:rPr>
      </w:pPr>
      <w:r w:rsidRPr="00325702">
        <w:rPr>
          <w:color w:val="auto"/>
          <w:sz w:val="22"/>
          <w:szCs w:val="22"/>
        </w:rPr>
        <w:t xml:space="preserve">Dans ce cadre, les </w:t>
      </w:r>
      <w:r w:rsidR="00162861">
        <w:rPr>
          <w:color w:val="auto"/>
          <w:sz w:val="22"/>
          <w:szCs w:val="22"/>
        </w:rPr>
        <w:t>organisations professionnelles</w:t>
      </w:r>
      <w:r w:rsidR="00162861" w:rsidRPr="004B3F8E">
        <w:rPr>
          <w:color w:val="auto"/>
          <w:sz w:val="22"/>
          <w:szCs w:val="22"/>
        </w:rPr>
        <w:t xml:space="preserve"> </w:t>
      </w:r>
      <w:r w:rsidRPr="00325702">
        <w:rPr>
          <w:color w:val="auto"/>
          <w:sz w:val="22"/>
          <w:szCs w:val="22"/>
        </w:rPr>
        <w:t>du Bâtiment et des Travaux Publics recommande</w:t>
      </w:r>
      <w:r>
        <w:rPr>
          <w:color w:val="auto"/>
          <w:sz w:val="22"/>
          <w:szCs w:val="22"/>
        </w:rPr>
        <w:t>nt</w:t>
      </w:r>
      <w:r w:rsidRPr="00325702">
        <w:rPr>
          <w:color w:val="auto"/>
          <w:sz w:val="22"/>
          <w:szCs w:val="22"/>
        </w:rPr>
        <w:t xml:space="preserve"> aux entreprises que les apprentis n’interviennent pas sur les chantiers et ateliers. De</w:t>
      </w:r>
      <w:r>
        <w:rPr>
          <w:color w:val="auto"/>
          <w:sz w:val="22"/>
          <w:szCs w:val="22"/>
        </w:rPr>
        <w:t xml:space="preserve"> même, il est recommandé qu’une attention particulière soit portée aux salariés les plus fragiles et notamment ceux en affection de longue durée.</w:t>
      </w:r>
    </w:p>
    <w:p w14:paraId="2965B07F" w14:textId="77777777" w:rsidR="00022303" w:rsidRDefault="00022303" w:rsidP="00022303">
      <w:pPr>
        <w:pStyle w:val="Default"/>
        <w:jc w:val="both"/>
        <w:rPr>
          <w:color w:val="auto"/>
          <w:sz w:val="22"/>
          <w:szCs w:val="22"/>
        </w:rPr>
      </w:pPr>
    </w:p>
    <w:p w14:paraId="3D30C1B8" w14:textId="12448F05" w:rsidR="00022303" w:rsidRDefault="00022303" w:rsidP="00022303">
      <w:pPr>
        <w:pStyle w:val="Default"/>
        <w:jc w:val="both"/>
        <w:rPr>
          <w:color w:val="auto"/>
          <w:sz w:val="22"/>
          <w:szCs w:val="22"/>
        </w:rPr>
      </w:pPr>
      <w:r w:rsidRPr="000A67F7">
        <w:rPr>
          <w:rFonts w:eastAsia="Calibri"/>
          <w:color w:val="auto"/>
          <w:sz w:val="22"/>
          <w:szCs w:val="22"/>
        </w:rPr>
        <w:t>Ce guide</w:t>
      </w:r>
      <w:r w:rsidR="00F237F9">
        <w:rPr>
          <w:rFonts w:eastAsia="Calibri"/>
          <w:color w:val="auto"/>
          <w:sz w:val="22"/>
          <w:szCs w:val="22"/>
        </w:rPr>
        <w:t xml:space="preserve"> validé par le</w:t>
      </w:r>
      <w:r w:rsidRPr="000A67F7">
        <w:rPr>
          <w:rFonts w:eastAsia="Calibri"/>
          <w:color w:val="auto"/>
          <w:sz w:val="22"/>
          <w:szCs w:val="22"/>
        </w:rPr>
        <w:t xml:space="preserve"> </w:t>
      </w:r>
      <w:r w:rsidR="00F237F9">
        <w:rPr>
          <w:color w:val="auto"/>
          <w:sz w:val="22"/>
          <w:szCs w:val="22"/>
        </w:rPr>
        <w:t>ministère</w:t>
      </w:r>
      <w:r w:rsidRPr="004B3F8E">
        <w:rPr>
          <w:color w:val="auto"/>
          <w:sz w:val="22"/>
          <w:szCs w:val="22"/>
        </w:rPr>
        <w:t xml:space="preserve"> du Travail et </w:t>
      </w:r>
      <w:r w:rsidR="00F237F9">
        <w:rPr>
          <w:color w:val="auto"/>
          <w:sz w:val="22"/>
          <w:szCs w:val="22"/>
        </w:rPr>
        <w:t xml:space="preserve">le ministère </w:t>
      </w:r>
      <w:r w:rsidRPr="004B3F8E">
        <w:rPr>
          <w:color w:val="auto"/>
          <w:sz w:val="22"/>
          <w:szCs w:val="22"/>
        </w:rPr>
        <w:t>des Solidarités et de la Santé</w:t>
      </w:r>
      <w:r w:rsidRPr="000A67F7">
        <w:rPr>
          <w:rFonts w:eastAsia="Calibri"/>
          <w:color w:val="auto"/>
          <w:sz w:val="22"/>
          <w:szCs w:val="22"/>
        </w:rPr>
        <w:t xml:space="preserve"> </w:t>
      </w:r>
      <w:r>
        <w:rPr>
          <w:rFonts w:eastAsia="Calibri"/>
          <w:color w:val="auto"/>
          <w:sz w:val="22"/>
          <w:szCs w:val="22"/>
        </w:rPr>
        <w:t xml:space="preserve">sera diffusé </w:t>
      </w:r>
      <w:r w:rsidRPr="000A67F7">
        <w:rPr>
          <w:rFonts w:eastAsia="Calibri"/>
          <w:color w:val="auto"/>
          <w:sz w:val="22"/>
          <w:szCs w:val="22"/>
        </w:rPr>
        <w:t>dans</w:t>
      </w:r>
      <w:r w:rsidRPr="004B3F8E">
        <w:rPr>
          <w:color w:val="auto"/>
          <w:sz w:val="22"/>
          <w:szCs w:val="22"/>
        </w:rPr>
        <w:t xml:space="preserve"> toutes les entreprises de toutes tailles du bâtiment et des travaux publics</w:t>
      </w:r>
      <w:r>
        <w:rPr>
          <w:color w:val="auto"/>
          <w:sz w:val="22"/>
          <w:szCs w:val="22"/>
        </w:rPr>
        <w:t>.</w:t>
      </w:r>
    </w:p>
    <w:p w14:paraId="1284718F" w14:textId="77777777" w:rsidR="00022303" w:rsidRDefault="00022303" w:rsidP="00022303">
      <w:pPr>
        <w:pStyle w:val="Default"/>
        <w:jc w:val="both"/>
        <w:rPr>
          <w:color w:val="auto"/>
          <w:sz w:val="22"/>
          <w:szCs w:val="22"/>
        </w:rPr>
      </w:pPr>
    </w:p>
    <w:p w14:paraId="24CAA57F" w14:textId="6022316D" w:rsidR="00022303" w:rsidRPr="00BA4579" w:rsidRDefault="00022303" w:rsidP="00022303">
      <w:pPr>
        <w:spacing w:before="120"/>
        <w:jc w:val="both"/>
        <w:rPr>
          <w:rFonts w:ascii="Arial" w:hAnsi="Arial" w:cs="Arial"/>
          <w:b/>
          <w:u w:val="single"/>
        </w:rPr>
      </w:pPr>
      <w:r w:rsidRPr="00BA4579">
        <w:rPr>
          <w:rFonts w:ascii="Arial" w:hAnsi="Arial" w:cs="Arial"/>
          <w:b/>
          <w:u w:val="single"/>
        </w:rPr>
        <w:t>Service de Presse de la CAPEB :</w:t>
      </w:r>
    </w:p>
    <w:p w14:paraId="1ACEFB51" w14:textId="307D49D1" w:rsidR="00BA4579" w:rsidRPr="00BA4579" w:rsidRDefault="00BA4579" w:rsidP="00BA4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A4579">
        <w:rPr>
          <w:rFonts w:ascii="Arial" w:hAnsi="Arial" w:cs="Arial"/>
          <w:color w:val="000000"/>
        </w:rPr>
        <w:t xml:space="preserve">Isabelle Planchais - </w:t>
      </w:r>
      <w:r w:rsidRPr="00BA4579">
        <w:rPr>
          <w:rFonts w:ascii="Arial" w:hAnsi="Arial" w:cs="Arial"/>
          <w:iCs/>
          <w:color w:val="000000"/>
        </w:rPr>
        <w:t xml:space="preserve">01 53 60 77 81 et 06 08 56 78 06 </w:t>
      </w:r>
      <w:r>
        <w:rPr>
          <w:rFonts w:ascii="Arial" w:hAnsi="Arial" w:cs="Arial"/>
          <w:iCs/>
          <w:color w:val="000000"/>
        </w:rPr>
        <w:t xml:space="preserve">- </w:t>
      </w:r>
      <w:r w:rsidRPr="00BA4579">
        <w:rPr>
          <w:rFonts w:ascii="Arial" w:hAnsi="Arial" w:cs="Arial"/>
          <w:iCs/>
          <w:color w:val="000000"/>
        </w:rPr>
        <w:t xml:space="preserve">i.planchais@capeb.fr </w:t>
      </w:r>
    </w:p>
    <w:p w14:paraId="4A0E3E85" w14:textId="77777777" w:rsidR="00022303" w:rsidRPr="00BA4579" w:rsidRDefault="00022303" w:rsidP="00022303">
      <w:pPr>
        <w:spacing w:before="120"/>
        <w:jc w:val="both"/>
        <w:rPr>
          <w:rFonts w:ascii="Arial" w:hAnsi="Arial" w:cs="Arial"/>
          <w:b/>
          <w:u w:val="single"/>
        </w:rPr>
      </w:pPr>
      <w:r w:rsidRPr="00BA4579">
        <w:rPr>
          <w:rFonts w:ascii="Arial" w:hAnsi="Arial" w:cs="Arial"/>
          <w:b/>
          <w:u w:val="single"/>
        </w:rPr>
        <w:t>Service de Presse de la FFB :</w:t>
      </w:r>
    </w:p>
    <w:p w14:paraId="63DFE57B" w14:textId="3FE53CC8" w:rsidR="00022303" w:rsidRPr="00BA4579" w:rsidRDefault="00022303" w:rsidP="00BA4579">
      <w:pPr>
        <w:spacing w:after="0" w:line="240" w:lineRule="auto"/>
        <w:rPr>
          <w:rFonts w:ascii="Arial" w:hAnsi="Arial" w:cs="Arial"/>
        </w:rPr>
      </w:pPr>
      <w:r w:rsidRPr="00BA4579">
        <w:rPr>
          <w:rStyle w:val="Aucun"/>
          <w:rFonts w:ascii="Arial" w:hAnsi="Arial" w:cs="Arial"/>
        </w:rPr>
        <w:t>Anaïk CUCHEVAL - 01 40 69 51 39</w:t>
      </w:r>
      <w:r w:rsidR="00BA4579">
        <w:rPr>
          <w:rStyle w:val="Aucun"/>
          <w:rFonts w:ascii="Arial" w:hAnsi="Arial" w:cs="Arial"/>
        </w:rPr>
        <w:t xml:space="preserve"> - </w:t>
      </w:r>
      <w:r w:rsidRPr="00BA4579">
        <w:rPr>
          <w:rStyle w:val="Hyperlink1"/>
          <w:rFonts w:ascii="Arial" w:hAnsi="Arial" w:cs="Arial"/>
          <w:color w:val="auto"/>
          <w:u w:val="none"/>
        </w:rPr>
        <w:t>cuchevala@national.ffbatiment.fr</w:t>
      </w:r>
    </w:p>
    <w:p w14:paraId="1F739027" w14:textId="148A9E1A" w:rsidR="00022303" w:rsidRPr="00BA4579" w:rsidRDefault="00022303" w:rsidP="00022303">
      <w:pPr>
        <w:spacing w:before="120"/>
        <w:jc w:val="both"/>
        <w:rPr>
          <w:rFonts w:ascii="Arial" w:hAnsi="Arial" w:cs="Arial"/>
          <w:b/>
          <w:u w:val="single"/>
        </w:rPr>
      </w:pPr>
      <w:r w:rsidRPr="00BA4579">
        <w:rPr>
          <w:rFonts w:ascii="Arial" w:hAnsi="Arial" w:cs="Arial"/>
          <w:b/>
          <w:u w:val="single"/>
        </w:rPr>
        <w:t xml:space="preserve">Service de Presse de la FNTP : </w:t>
      </w:r>
    </w:p>
    <w:p w14:paraId="24E00CA3" w14:textId="5D7FC3D5" w:rsidR="00BA4579" w:rsidRPr="00BA4579" w:rsidRDefault="00BA4579" w:rsidP="00BA4579">
      <w:pPr>
        <w:spacing w:after="0" w:line="240" w:lineRule="auto"/>
        <w:rPr>
          <w:rStyle w:val="Aucun"/>
          <w:rFonts w:ascii="Arial" w:hAnsi="Arial" w:cs="Arial"/>
        </w:rPr>
      </w:pPr>
      <w:r w:rsidRPr="00BA4579">
        <w:rPr>
          <w:rStyle w:val="Aucun"/>
          <w:rFonts w:ascii="Arial" w:hAnsi="Arial" w:cs="Arial"/>
        </w:rPr>
        <w:t xml:space="preserve">Sophie Cahen – 07 84 17 75 93 </w:t>
      </w:r>
      <w:r>
        <w:rPr>
          <w:rStyle w:val="Aucun"/>
          <w:rFonts w:ascii="Arial" w:hAnsi="Arial" w:cs="Arial"/>
        </w:rPr>
        <w:t xml:space="preserve">- </w:t>
      </w:r>
      <w:r w:rsidRPr="00BA4579">
        <w:rPr>
          <w:rStyle w:val="Aucun"/>
          <w:rFonts w:ascii="Arial" w:hAnsi="Arial" w:cs="Arial"/>
        </w:rPr>
        <w:t xml:space="preserve">cahens@fntp.fr </w:t>
      </w:r>
    </w:p>
    <w:p w14:paraId="78C9A098" w14:textId="4B591FF8" w:rsidR="00336DBF" w:rsidRPr="00BA4579" w:rsidRDefault="00022303" w:rsidP="00162861">
      <w:pPr>
        <w:spacing w:before="120"/>
        <w:jc w:val="both"/>
        <w:rPr>
          <w:rFonts w:ascii="Arial" w:hAnsi="Arial" w:cs="Arial"/>
          <w:b/>
          <w:u w:val="single"/>
        </w:rPr>
      </w:pPr>
      <w:r w:rsidRPr="00BA4579">
        <w:rPr>
          <w:rFonts w:ascii="Arial" w:hAnsi="Arial" w:cs="Arial"/>
          <w:b/>
          <w:u w:val="single"/>
        </w:rPr>
        <w:t>Servi</w:t>
      </w:r>
      <w:r w:rsidR="00162861" w:rsidRPr="00BA4579">
        <w:rPr>
          <w:rFonts w:ascii="Arial" w:hAnsi="Arial" w:cs="Arial"/>
          <w:b/>
          <w:u w:val="single"/>
        </w:rPr>
        <w:t>ce de Presse de la FSCOP – BTP :</w:t>
      </w:r>
    </w:p>
    <w:p w14:paraId="6A22E6AB" w14:textId="269ABDAE" w:rsidR="00336DBF" w:rsidRPr="00BA4579" w:rsidRDefault="00BA4579" w:rsidP="00BA4579">
      <w:pPr>
        <w:spacing w:after="0" w:line="240" w:lineRule="auto"/>
        <w:rPr>
          <w:lang w:val="en-US"/>
        </w:rPr>
      </w:pPr>
      <w:r w:rsidRPr="008874E1">
        <w:rPr>
          <w:rStyle w:val="Aucun"/>
          <w:rFonts w:ascii="Arial" w:hAnsi="Arial" w:cs="Arial"/>
          <w:lang w:val="en-US"/>
        </w:rPr>
        <w:t>Thomas GALLIER - Tél. : 01.55.65.12.20 </w:t>
      </w:r>
      <w:r w:rsidR="008874E1" w:rsidRPr="008874E1">
        <w:rPr>
          <w:rStyle w:val="Aucun"/>
          <w:rFonts w:ascii="Arial" w:hAnsi="Arial" w:cs="Arial"/>
          <w:lang w:val="en-US"/>
        </w:rPr>
        <w:t>-</w:t>
      </w:r>
      <w:bookmarkStart w:id="0" w:name="_GoBack"/>
      <w:bookmarkEnd w:id="0"/>
      <w:r w:rsidRPr="008874E1">
        <w:rPr>
          <w:rStyle w:val="Aucun"/>
          <w:rFonts w:ascii="Arial" w:hAnsi="Arial" w:cs="Arial"/>
          <w:lang w:val="en-US"/>
        </w:rPr>
        <w:t> </w:t>
      </w:r>
      <w:hyperlink r:id="rId14" w:history="1">
        <w:r w:rsidRPr="008874E1">
          <w:rPr>
            <w:rStyle w:val="Aucun"/>
            <w:rFonts w:ascii="Arial" w:hAnsi="Arial" w:cs="Arial"/>
            <w:lang w:val="en-US"/>
          </w:rPr>
          <w:t>t.gallier@scopbtp.org</w:t>
        </w:r>
      </w:hyperlink>
    </w:p>
    <w:sectPr w:rsidR="00336DBF" w:rsidRPr="00BA4579">
      <w:headerReference w:type="even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6C8DE" w14:textId="77777777" w:rsidR="00855747" w:rsidRDefault="00855747" w:rsidP="00336DBF">
      <w:pPr>
        <w:spacing w:after="0" w:line="240" w:lineRule="auto"/>
      </w:pPr>
      <w:r>
        <w:separator/>
      </w:r>
    </w:p>
  </w:endnote>
  <w:endnote w:type="continuationSeparator" w:id="0">
    <w:p w14:paraId="34FDDA70" w14:textId="77777777" w:rsidR="00855747" w:rsidRDefault="00855747" w:rsidP="0033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2385B" w14:textId="77777777" w:rsidR="00855747" w:rsidRDefault="00855747" w:rsidP="00336DBF">
      <w:pPr>
        <w:spacing w:after="0" w:line="240" w:lineRule="auto"/>
      </w:pPr>
      <w:r>
        <w:separator/>
      </w:r>
    </w:p>
  </w:footnote>
  <w:footnote w:type="continuationSeparator" w:id="0">
    <w:p w14:paraId="49B0ECF4" w14:textId="77777777" w:rsidR="00855747" w:rsidRDefault="00855747" w:rsidP="0033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57CF5" w14:textId="77777777" w:rsidR="008D0DD8" w:rsidRDefault="008874E1">
    <w:pPr>
      <w:pStyle w:val="En-tte"/>
    </w:pPr>
    <w:r>
      <w:rPr>
        <w:noProof/>
      </w:rPr>
      <w:pict w14:anchorId="586405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48985" o:spid="_x0000_s2050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88162" w14:textId="77777777" w:rsidR="008D0DD8" w:rsidRDefault="008874E1">
    <w:pPr>
      <w:pStyle w:val="En-tte"/>
    </w:pPr>
    <w:r>
      <w:rPr>
        <w:noProof/>
      </w:rPr>
      <w:pict w14:anchorId="145F6D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548984" o:spid="_x0000_s2049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BF"/>
    <w:rsid w:val="00022303"/>
    <w:rsid w:val="00093A91"/>
    <w:rsid w:val="000E2D58"/>
    <w:rsid w:val="001434D7"/>
    <w:rsid w:val="00162861"/>
    <w:rsid w:val="001F3E03"/>
    <w:rsid w:val="0023356F"/>
    <w:rsid w:val="00325702"/>
    <w:rsid w:val="00336DBF"/>
    <w:rsid w:val="0034772C"/>
    <w:rsid w:val="00372953"/>
    <w:rsid w:val="00397A75"/>
    <w:rsid w:val="00435C93"/>
    <w:rsid w:val="0047271F"/>
    <w:rsid w:val="005A3D98"/>
    <w:rsid w:val="006058F6"/>
    <w:rsid w:val="00670465"/>
    <w:rsid w:val="006B1F41"/>
    <w:rsid w:val="007317EE"/>
    <w:rsid w:val="007A4D57"/>
    <w:rsid w:val="007F2633"/>
    <w:rsid w:val="00855747"/>
    <w:rsid w:val="008874E1"/>
    <w:rsid w:val="008C0148"/>
    <w:rsid w:val="00930C8B"/>
    <w:rsid w:val="009550DA"/>
    <w:rsid w:val="00985E1E"/>
    <w:rsid w:val="009C1DCF"/>
    <w:rsid w:val="00B05916"/>
    <w:rsid w:val="00BA4579"/>
    <w:rsid w:val="00BB608E"/>
    <w:rsid w:val="00C0157A"/>
    <w:rsid w:val="00C167DA"/>
    <w:rsid w:val="00CE0003"/>
    <w:rsid w:val="00D76CB0"/>
    <w:rsid w:val="00DF07A5"/>
    <w:rsid w:val="00DF4E2A"/>
    <w:rsid w:val="00E565D5"/>
    <w:rsid w:val="00F237F9"/>
    <w:rsid w:val="00F45D1C"/>
    <w:rsid w:val="00F82C8D"/>
    <w:rsid w:val="00F8647A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85E431"/>
  <w15:chartTrackingRefBased/>
  <w15:docId w15:val="{77E78EDC-1226-42C2-ABBD-FC1FE05F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36D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36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6DBF"/>
  </w:style>
  <w:style w:type="paragraph" w:styleId="Pieddepage">
    <w:name w:val="footer"/>
    <w:basedOn w:val="Normal"/>
    <w:link w:val="PieddepageCar"/>
    <w:uiPriority w:val="99"/>
    <w:unhideWhenUsed/>
    <w:rsid w:val="00336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6DBF"/>
  </w:style>
  <w:style w:type="paragraph" w:customStyle="1" w:styleId="Adresse">
    <w:name w:val="Adresse"/>
    <w:basedOn w:val="Normal"/>
    <w:qFormat/>
    <w:rsid w:val="00022303"/>
    <w:pPr>
      <w:spacing w:before="500" w:after="0" w:line="240" w:lineRule="auto"/>
      <w:ind w:left="5273" w:right="85"/>
    </w:pPr>
    <w:rPr>
      <w:rFonts w:ascii="Arial" w:eastAsia="Times New Roman" w:hAnsi="Arial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022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basedOn w:val="Policepardfaut"/>
    <w:rsid w:val="00022303"/>
  </w:style>
  <w:style w:type="character" w:customStyle="1" w:styleId="Hyperlink1">
    <w:name w:val="Hyperlink.1"/>
    <w:basedOn w:val="Policepardfaut"/>
    <w:rsid w:val="00022303"/>
    <w:rPr>
      <w:rFonts w:ascii="Calibri" w:hAnsi="Calibri" w:cs="Calibri" w:hint="default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A9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BA4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t.gallier@scopbtp.org?subject=Label%20RSE%20SCOP%20BT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C3268B32BB34CBE91C2997C8D350C" ma:contentTypeVersion="10" ma:contentTypeDescription="Crée un document." ma:contentTypeScope="" ma:versionID="df17a93cadcf3e214a129ac23264cef4">
  <xsd:schema xmlns:xsd="http://www.w3.org/2001/XMLSchema" xmlns:xs="http://www.w3.org/2001/XMLSchema" xmlns:p="http://schemas.microsoft.com/office/2006/metadata/properties" xmlns:ns3="48f9a5df-c8d0-46e3-9590-fabe1d8f92c7" targetNamespace="http://schemas.microsoft.com/office/2006/metadata/properties" ma:root="true" ma:fieldsID="b952883b0c0fc672273128d97b4c3972" ns3:_="">
    <xsd:import namespace="48f9a5df-c8d0-46e3-9590-fabe1d8f92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a5df-c8d0-46e3-9590-fabe1d8f9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34F5-CFBE-4509-B83D-685162EBF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9a5df-c8d0-46e3-9590-fabe1d8f9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B97C7-F48D-446C-A2FE-2BD99213F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E6FA-39EF-440E-9AB4-6EF00C654B9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48f9a5df-c8d0-46e3-9590-fabe1d8f92c7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5AFAD56-7993-4653-A316-52113473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FFB</dc:creator>
  <cp:keywords/>
  <dc:description/>
  <cp:lastModifiedBy>CUCHEVAL Anaïk ( FFB Editions Presse et communication )</cp:lastModifiedBy>
  <cp:revision>2</cp:revision>
  <dcterms:created xsi:type="dcterms:W3CDTF">2020-04-02T16:17:00Z</dcterms:created>
  <dcterms:modified xsi:type="dcterms:W3CDTF">2020-04-02T16:17:00Z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0x01010090DC3268B32BB34CBE91C2997C8D350C</vt:lpwstr>
  </property>
</Properties>
</file>